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016A" w14:textId="77777777" w:rsidR="00A1468F" w:rsidRDefault="00A1468F" w:rsidP="00A1468F">
      <w:pPr>
        <w:pStyle w:val="sche4"/>
        <w:widowControl w:val="0"/>
        <w:rPr>
          <w:rFonts w:ascii="Arial" w:hAnsi="Arial" w:cs="Arial"/>
          <w:b/>
          <w:sz w:val="22"/>
          <w:szCs w:val="22"/>
          <w:lang w:val="it-IT"/>
        </w:rPr>
      </w:pPr>
      <w:r w:rsidRPr="003873D7">
        <w:rPr>
          <w:rFonts w:ascii="Arial" w:hAnsi="Arial" w:cs="Arial"/>
          <w:b/>
          <w:sz w:val="22"/>
          <w:szCs w:val="22"/>
          <w:lang w:val="it-IT"/>
        </w:rPr>
        <w:t xml:space="preserve">Allegato </w:t>
      </w:r>
      <w:r>
        <w:rPr>
          <w:rFonts w:ascii="Arial" w:hAnsi="Arial" w:cs="Arial"/>
          <w:b/>
          <w:sz w:val="22"/>
          <w:szCs w:val="22"/>
          <w:lang w:val="it-IT"/>
        </w:rPr>
        <w:t>1</w:t>
      </w:r>
      <w:r w:rsidRPr="003873D7">
        <w:rPr>
          <w:rFonts w:ascii="Arial" w:hAnsi="Arial" w:cs="Arial"/>
          <w:b/>
          <w:sz w:val="22"/>
          <w:szCs w:val="22"/>
          <w:lang w:val="it-IT"/>
        </w:rPr>
        <w:t xml:space="preserve"> al Disciplinare di Gara</w:t>
      </w:r>
    </w:p>
    <w:p w14:paraId="303C05F1" w14:textId="77777777" w:rsidR="00A1468F" w:rsidRDefault="00A1468F" w:rsidP="00A1468F">
      <w:pPr>
        <w:pStyle w:val="sche4"/>
        <w:widowControl w:val="0"/>
        <w:rPr>
          <w:rFonts w:ascii="Arial" w:hAnsi="Arial" w:cs="Arial"/>
          <w:b/>
          <w:sz w:val="22"/>
          <w:szCs w:val="22"/>
          <w:lang w:val="it-IT"/>
        </w:rPr>
      </w:pPr>
    </w:p>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6A2E4FC2" w14:textId="11D8C7BD" w:rsidR="00A1468F" w:rsidRPr="00A1468F" w:rsidRDefault="00A1468F" w:rsidP="00A1468F">
      <w:pPr>
        <w:jc w:val="both"/>
        <w:rPr>
          <w:rFonts w:ascii="Arial" w:hAnsi="Arial" w:cs="Arial"/>
          <w:b/>
          <w:bCs/>
        </w:rPr>
      </w:pPr>
      <w:r w:rsidRPr="00A1468F">
        <w:rPr>
          <w:rFonts w:ascii="Arial" w:hAnsi="Arial" w:cs="Arial"/>
          <w:b/>
        </w:rPr>
        <w:t xml:space="preserve">Oggetto: Domanda di partecipazione alla </w:t>
      </w:r>
      <w:r w:rsidRPr="00A1468F">
        <w:rPr>
          <w:rFonts w:ascii="Arial" w:hAnsi="Arial" w:cs="Arial"/>
          <w:b/>
          <w:bCs/>
        </w:rPr>
        <w:t xml:space="preserve">PROCEDURA APERTA PER IL SERVIZIO QUINQUENNALE DI MANUTENZIONE </w:t>
      </w:r>
      <w:r w:rsidR="00E973C2">
        <w:rPr>
          <w:rFonts w:ascii="Arial" w:hAnsi="Arial" w:cs="Arial"/>
          <w:b/>
          <w:bCs/>
        </w:rPr>
        <w:t>STAZIONI PIEZOMETRICHE E GESTIONE IDRAULICA STAZIONI PIEZOMETRICHE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3C802146" w:rsidR="00AA4C35" w:rsidRPr="00336832" w:rsidRDefault="00AA4C35" w:rsidP="0047541F">
      <w:pPr>
        <w:pStyle w:val="Paragrafoelenco"/>
        <w:ind w:left="426"/>
        <w:rPr>
          <w:rFonts w:cstheme="minorHAnsi"/>
          <w:sz w:val="20"/>
          <w:szCs w:val="20"/>
        </w:rPr>
      </w:pP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6488" w14:textId="77777777" w:rsidR="001B6317" w:rsidRDefault="001B6317">
      <w:pPr>
        <w:spacing w:after="0" w:line="240" w:lineRule="auto"/>
      </w:pPr>
      <w:r>
        <w:separator/>
      </w:r>
    </w:p>
  </w:endnote>
  <w:endnote w:type="continuationSeparator" w:id="0">
    <w:p w14:paraId="1AC4DE8B" w14:textId="77777777" w:rsidR="001B6317" w:rsidRDefault="001B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charset w:val="00"/>
    <w:family w:val="moder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CD5" w14:textId="77777777" w:rsidR="001B6317" w:rsidRDefault="001B6317">
      <w:pPr>
        <w:rPr>
          <w:sz w:val="12"/>
        </w:rPr>
      </w:pPr>
      <w:r>
        <w:separator/>
      </w:r>
    </w:p>
  </w:footnote>
  <w:footnote w:type="continuationSeparator" w:id="0">
    <w:p w14:paraId="2A4ED135" w14:textId="77777777" w:rsidR="001B6317" w:rsidRDefault="001B631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8"/>
  </w:num>
  <w:num w:numId="3" w16cid:durableId="194126910">
    <w:abstractNumId w:val="9"/>
  </w:num>
  <w:num w:numId="4" w16cid:durableId="1814369190">
    <w:abstractNumId w:val="13"/>
  </w:num>
  <w:num w:numId="5" w16cid:durableId="1082027215">
    <w:abstractNumId w:val="2"/>
  </w:num>
  <w:num w:numId="6" w16cid:durableId="1677995524">
    <w:abstractNumId w:val="17"/>
  </w:num>
  <w:num w:numId="7" w16cid:durableId="687757341">
    <w:abstractNumId w:val="8"/>
  </w:num>
  <w:num w:numId="8" w16cid:durableId="438110404">
    <w:abstractNumId w:val="21"/>
  </w:num>
  <w:num w:numId="9" w16cid:durableId="2124886931">
    <w:abstractNumId w:val="6"/>
  </w:num>
  <w:num w:numId="10" w16cid:durableId="601105162">
    <w:abstractNumId w:val="1"/>
  </w:num>
  <w:num w:numId="11" w16cid:durableId="805709151">
    <w:abstractNumId w:val="15"/>
  </w:num>
  <w:num w:numId="12" w16cid:durableId="1677229606">
    <w:abstractNumId w:val="5"/>
  </w:num>
  <w:num w:numId="13" w16cid:durableId="1279991465">
    <w:abstractNumId w:val="16"/>
  </w:num>
  <w:num w:numId="14" w16cid:durableId="1762336574">
    <w:abstractNumId w:val="0"/>
  </w:num>
  <w:num w:numId="15" w16cid:durableId="1712337772">
    <w:abstractNumId w:val="10"/>
  </w:num>
  <w:num w:numId="16" w16cid:durableId="31929685">
    <w:abstractNumId w:val="3"/>
  </w:num>
  <w:num w:numId="17" w16cid:durableId="797067071">
    <w:abstractNumId w:val="19"/>
  </w:num>
  <w:num w:numId="18" w16cid:durableId="446583041">
    <w:abstractNumId w:val="12"/>
  </w:num>
  <w:num w:numId="19" w16cid:durableId="1008361891">
    <w:abstractNumId w:val="20"/>
  </w:num>
  <w:num w:numId="20" w16cid:durableId="875581552">
    <w:abstractNumId w:val="4"/>
  </w:num>
  <w:num w:numId="21" w16cid:durableId="1997148234">
    <w:abstractNumId w:val="11"/>
  </w:num>
  <w:num w:numId="22" w16cid:durableId="253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748E"/>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2987</Words>
  <Characters>17030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Pasin</cp:lastModifiedBy>
  <cp:revision>4</cp:revision>
  <cp:lastPrinted>2025-10-02T09:24:00Z</cp:lastPrinted>
  <dcterms:created xsi:type="dcterms:W3CDTF">2025-10-02T10:07:00Z</dcterms:created>
  <dcterms:modified xsi:type="dcterms:W3CDTF">2025-10-30T12:57:00Z</dcterms:modified>
  <dc:language>it-IT</dc:language>
</cp:coreProperties>
</file>