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BE81" w14:textId="77777777" w:rsidR="00A1468F" w:rsidRDefault="00A1468F" w:rsidP="00A1468F">
      <w:pPr>
        <w:pStyle w:val="sche4"/>
        <w:widowControl w:val="0"/>
        <w:ind w:left="4536" w:firstLine="567"/>
        <w:rPr>
          <w:rFonts w:ascii="Arial" w:hAnsi="Arial" w:cs="Arial"/>
          <w:b/>
          <w:sz w:val="22"/>
          <w:szCs w:val="22"/>
          <w:lang w:val="it-IT"/>
        </w:rPr>
      </w:pPr>
    </w:p>
    <w:p w14:paraId="28E50713"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All’Agenzia Regionale</w:t>
      </w:r>
    </w:p>
    <w:p w14:paraId="754D1DD2" w14:textId="77777777" w:rsidR="00A1468F" w:rsidRPr="00B41AD5" w:rsidRDefault="00A1468F" w:rsidP="00A1468F">
      <w:pPr>
        <w:pStyle w:val="sche4"/>
        <w:widowControl w:val="0"/>
        <w:ind w:left="4536" w:firstLine="567"/>
        <w:rPr>
          <w:rFonts w:ascii="Arial" w:hAnsi="Arial" w:cs="Arial"/>
          <w:b/>
          <w:sz w:val="22"/>
          <w:szCs w:val="22"/>
          <w:lang w:val="it-IT"/>
        </w:rPr>
      </w:pPr>
      <w:r w:rsidRPr="00B41AD5">
        <w:rPr>
          <w:rFonts w:ascii="Arial" w:hAnsi="Arial" w:cs="Arial"/>
          <w:b/>
          <w:sz w:val="22"/>
          <w:szCs w:val="22"/>
          <w:lang w:val="it-IT"/>
        </w:rPr>
        <w:t>per la Protezione Ambientale del Piemonte</w:t>
      </w:r>
    </w:p>
    <w:p w14:paraId="2A7DEACA"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Via Pio VII, 9</w:t>
      </w:r>
    </w:p>
    <w:p w14:paraId="3BA517A2" w14:textId="77777777" w:rsidR="00A1468F" w:rsidRPr="00B41AD5" w:rsidRDefault="00A1468F" w:rsidP="00A1468F">
      <w:pPr>
        <w:pStyle w:val="sche4"/>
        <w:widowControl w:val="0"/>
        <w:rPr>
          <w:rFonts w:ascii="Arial" w:hAnsi="Arial" w:cs="Arial"/>
          <w:b/>
          <w:sz w:val="22"/>
          <w:szCs w:val="22"/>
          <w:lang w:val="it-IT"/>
        </w:rPr>
      </w:pPr>
      <w:r w:rsidRPr="00B41AD5">
        <w:rPr>
          <w:rFonts w:ascii="Arial" w:hAnsi="Arial" w:cs="Arial"/>
          <w:b/>
          <w:sz w:val="22"/>
          <w:szCs w:val="22"/>
          <w:lang w:val="it-IT"/>
        </w:rPr>
        <w:t xml:space="preserve">                                                                                   10135 Torino</w:t>
      </w:r>
    </w:p>
    <w:p w14:paraId="478869EF" w14:textId="77777777" w:rsidR="00A1468F" w:rsidRPr="00B41AD5" w:rsidRDefault="00A1468F" w:rsidP="00A1468F">
      <w:pPr>
        <w:pStyle w:val="Testonormale1"/>
        <w:rPr>
          <w:rFonts w:ascii="Arial" w:hAnsi="Arial" w:cs="Arial"/>
          <w:b/>
          <w:sz w:val="22"/>
          <w:szCs w:val="22"/>
          <w:highlight w:val="yellow"/>
        </w:rPr>
      </w:pPr>
    </w:p>
    <w:p w14:paraId="5754C59F" w14:textId="77777777" w:rsidR="00A1468F" w:rsidRPr="00B41AD5" w:rsidRDefault="00A1468F" w:rsidP="00A1468F">
      <w:pPr>
        <w:pStyle w:val="Testonormale1"/>
        <w:rPr>
          <w:rFonts w:ascii="Times New Roman" w:hAnsi="Times New Roman" w:cs="Times New Roman"/>
          <w:b/>
          <w:highlight w:val="yellow"/>
        </w:rPr>
      </w:pPr>
    </w:p>
    <w:p w14:paraId="7D7DACEA" w14:textId="12A350B8" w:rsidR="00FA4C47" w:rsidRPr="00FA4C47" w:rsidRDefault="00A1468F" w:rsidP="00461D21">
      <w:pPr>
        <w:jc w:val="both"/>
      </w:pPr>
      <w:r w:rsidRPr="00A1468F">
        <w:rPr>
          <w:rFonts w:ascii="Arial" w:hAnsi="Arial" w:cs="Arial"/>
          <w:b/>
        </w:rPr>
        <w:t xml:space="preserve">Oggetto: Domanda di partecipazione alla </w:t>
      </w:r>
      <w:r w:rsidRPr="00A1468F">
        <w:rPr>
          <w:rFonts w:ascii="Arial" w:hAnsi="Arial" w:cs="Arial"/>
          <w:b/>
          <w:bCs/>
        </w:rPr>
        <w:t xml:space="preserve">PROCEDURA </w:t>
      </w:r>
      <w:r w:rsidR="00461D21" w:rsidRPr="00545FBB">
        <w:rPr>
          <w:rFonts w:ascii="Arial" w:hAnsi="Arial" w:cs="Arial"/>
          <w:b/>
          <w:bCs/>
          <w:caps/>
          <w:lang w:eastAsia="it-IT"/>
        </w:rPr>
        <w:t xml:space="preserve">per l’affidamento del servizio </w:t>
      </w:r>
      <w:bookmarkStart w:id="0" w:name="_Hlk211348501"/>
      <w:r w:rsidR="00461D21" w:rsidRPr="00545FBB">
        <w:rPr>
          <w:rFonts w:ascii="Arial" w:hAnsi="Arial" w:cs="Arial"/>
          <w:b/>
          <w:bCs/>
          <w:caps/>
          <w:lang w:eastAsia="it-IT"/>
        </w:rPr>
        <w:t xml:space="preserve">biennale di manutenzione </w:t>
      </w:r>
      <w:bookmarkEnd w:id="0"/>
      <w:r w:rsidR="00461D21" w:rsidRPr="00545FBB">
        <w:rPr>
          <w:rFonts w:ascii="Arial" w:hAnsi="Arial" w:cs="Arial"/>
          <w:b/>
          <w:caps/>
        </w:rPr>
        <w:t>PREVENTIVA, CORRETTIVA, SERVIZI QA/QC e altri servizi inerenti ALLA RETE DI RILEVAMENTO DELLA QUALITA’ DELL’ARIA DELLA REGIONE PIEMONTE E PRESTAZIONI ACCESSORIE</w:t>
      </w:r>
      <w:r w:rsidR="00341AAE">
        <w:rPr>
          <w:rFonts w:ascii="Arial" w:hAnsi="Arial" w:cs="Arial"/>
          <w:b/>
          <w:caps/>
        </w:rPr>
        <w:t xml:space="preserve"> – CIG BB08E3B423</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lastRenderedPageBreak/>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lastRenderedPageBreak/>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18D3BE6B"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6B54348E"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w:t>
      </w:r>
      <w:r w:rsidR="006475CF">
        <w:rPr>
          <w:sz w:val="20"/>
          <w:szCs w:val="20"/>
        </w:rPr>
        <w:t xml:space="preserve"> presente tra gli allegati della procedura;</w:t>
      </w:r>
    </w:p>
    <w:p w14:paraId="282520ED" w14:textId="03A1C17F" w:rsidR="00C41162"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w:t>
      </w:r>
      <w:r w:rsidR="00857C49">
        <w:rPr>
          <w:sz w:val="20"/>
          <w:szCs w:val="20"/>
        </w:rPr>
        <w:t xml:space="preserve"> al seguente link</w:t>
      </w:r>
      <w:r w:rsidRPr="006533B7">
        <w:rPr>
          <w:sz w:val="20"/>
          <w:szCs w:val="20"/>
        </w:rPr>
        <w:t xml:space="preserve"> </w:t>
      </w:r>
      <w:r w:rsidR="00857C49" w:rsidRPr="00857C49">
        <w:rPr>
          <w:rFonts w:eastAsia="Arial" w:cstheme="minorHAnsi"/>
        </w:rPr>
        <w:t xml:space="preserve">URL </w:t>
      </w:r>
      <w:hyperlink r:id="rId8">
        <w:r w:rsidR="00857C49" w:rsidRPr="00857C49">
          <w:rPr>
            <w:rStyle w:val="Collegamentoipertestuale"/>
            <w:rFonts w:eastAsia="Arial" w:cstheme="minorHAnsi"/>
          </w:rPr>
          <w:t>https://www.arpa.piemonte.it/istituzionale/amministrazione-trasparente/disposizioni-generali/atti-generali</w:t>
        </w:r>
      </w:hyperlink>
      <w:r w:rsidR="00857C49">
        <w:rPr>
          <w:rStyle w:val="Collegamentoipertestuale"/>
          <w:rFonts w:ascii="Arial" w:eastAsia="Arial" w:hAnsi="Arial" w:cs="Arial"/>
        </w:rPr>
        <w:t xml:space="preserve"> </w:t>
      </w:r>
      <w:r w:rsidRPr="006533B7">
        <w:rPr>
          <w:sz w:val="20"/>
          <w:szCs w:val="20"/>
        </w:rPr>
        <w:t xml:space="preserve">e si impegna, in caso di aggiudicazione, ad osservare e a far osservare ai propri dipendenti e collaboratori, per quanto applicabile, il suddetto codice, pena la risoluzione del contratto. </w:t>
      </w:r>
    </w:p>
    <w:p w14:paraId="7769CCAD" w14:textId="1DB6FEB4" w:rsidR="00DF216A" w:rsidRPr="00DF216A" w:rsidRDefault="00DF216A" w:rsidP="00DF216A">
      <w:pPr>
        <w:suppressAutoHyphens w:val="0"/>
        <w:spacing w:before="60" w:after="60" w:line="276" w:lineRule="auto"/>
        <w:jc w:val="both"/>
        <w:rPr>
          <w:sz w:val="20"/>
          <w:szCs w:val="20"/>
        </w:rPr>
      </w:pPr>
      <w:r w:rsidRPr="006533B7">
        <w:rPr>
          <w:sz w:val="20"/>
          <w:szCs w:val="20"/>
        </w:rPr>
        <w:t>▪</w:t>
      </w:r>
      <w:r>
        <w:rPr>
          <w:sz w:val="20"/>
          <w:szCs w:val="20"/>
        </w:rPr>
        <w:t xml:space="preserve"> </w:t>
      </w:r>
      <w:r w:rsidRPr="00DF216A">
        <w:rPr>
          <w:sz w:val="20"/>
          <w:szCs w:val="20"/>
        </w:rPr>
        <w:t>di indicare il seguente indirizzo Posta Elettronica Certificata (PEC) _________________________ ai fini delle comunicazioni di cui all’art. 90, comma 1 del Codice;</w:t>
      </w:r>
    </w:p>
    <w:p w14:paraId="30DDFD83" w14:textId="77777777" w:rsidR="00DF216A" w:rsidRPr="00DF216A" w:rsidRDefault="00DF216A" w:rsidP="00DF216A">
      <w:pPr>
        <w:pStyle w:val="usoboll1"/>
        <w:spacing w:line="300" w:lineRule="exact"/>
        <w:ind w:left="720"/>
        <w:rPr>
          <w:rFonts w:asciiTheme="minorHAnsi" w:eastAsiaTheme="minorHAnsi" w:hAnsiTheme="minorHAnsi" w:cstheme="minorBidi"/>
          <w:sz w:val="20"/>
          <w:lang w:eastAsia="en-US"/>
        </w:rPr>
      </w:pPr>
      <w:r w:rsidRPr="00DF216A">
        <w:rPr>
          <w:rFonts w:asciiTheme="minorHAnsi" w:eastAsiaTheme="minorHAnsi" w:hAnsiTheme="minorHAnsi" w:cstheme="minorBidi"/>
          <w:sz w:val="20"/>
          <w:lang w:eastAsia="en-US"/>
        </w:rPr>
        <w:t xml:space="preserve">oppure </w:t>
      </w:r>
    </w:p>
    <w:p w14:paraId="106F96D2" w14:textId="4F535D63" w:rsidR="00DF216A" w:rsidRPr="006533B7" w:rsidRDefault="00DF216A" w:rsidP="00DF216A">
      <w:pPr>
        <w:ind w:left="142" w:hanging="142"/>
        <w:jc w:val="both"/>
        <w:rPr>
          <w:sz w:val="20"/>
          <w:szCs w:val="20"/>
        </w:rPr>
      </w:pPr>
      <w:r w:rsidRPr="00DF216A">
        <w:rPr>
          <w:sz w:val="20"/>
          <w:szCs w:val="20"/>
        </w:rPr>
        <w:t>□ (solo in caso di concorrenti aventi sede in altri Stati membri), l’indirizzo di Posta Elettronica Ordinaria (PEO) _____________________</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69654381" w14:textId="1EB27791" w:rsidR="005C49E2" w:rsidRDefault="00184306" w:rsidP="00857C49">
      <w:pPr>
        <w:jc w:val="both"/>
        <w:rPr>
          <w:sz w:val="20"/>
          <w:szCs w:val="20"/>
        </w:rPr>
      </w:pPr>
      <w:r w:rsidRPr="006533B7">
        <w:rPr>
          <w:sz w:val="20"/>
          <w:szCs w:val="20"/>
        </w:rPr>
        <w:t xml:space="preserve">▪ </w:t>
      </w:r>
      <w:r w:rsidR="00857C49">
        <w:rPr>
          <w:sz w:val="20"/>
          <w:szCs w:val="20"/>
        </w:rPr>
        <w:t xml:space="preserve">    </w:t>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4999AB97" w14:textId="0E57B25A" w:rsidR="00C41162" w:rsidRPr="006F759B" w:rsidRDefault="00184306" w:rsidP="00547C73">
      <w:pPr>
        <w:ind w:left="284" w:hanging="284"/>
        <w:jc w:val="both"/>
        <w:rPr>
          <w:sz w:val="20"/>
          <w:szCs w:val="20"/>
        </w:rPr>
      </w:pPr>
      <w:r w:rsidRPr="006F759B">
        <w:rPr>
          <w:sz w:val="20"/>
          <w:szCs w:val="20"/>
        </w:rPr>
        <w:t>▪</w:t>
      </w:r>
      <w:r w:rsidR="00547C73">
        <w:rPr>
          <w:sz w:val="20"/>
          <w:szCs w:val="20"/>
        </w:rPr>
        <w:tab/>
      </w:r>
      <w:r w:rsidR="00547C73" w:rsidRPr="00547C73">
        <w:rPr>
          <w:i/>
          <w:iCs/>
          <w:sz w:val="20"/>
          <w:szCs w:val="20"/>
        </w:rPr>
        <w:t>(</w:t>
      </w:r>
      <w:r w:rsidRPr="00547C73">
        <w:rPr>
          <w:i/>
          <w:iCs/>
          <w:sz w:val="20"/>
          <w:szCs w:val="20"/>
        </w:rPr>
        <w:t>eventuale, solo nel caso in cui la garanzia sia rilasciata tramite bonifico)</w:t>
      </w:r>
      <w:r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3C802146" w:rsidR="00AA4C35" w:rsidRPr="00336832" w:rsidRDefault="00AA4C35" w:rsidP="0047541F">
      <w:pPr>
        <w:pStyle w:val="Paragrafoelenco"/>
        <w:ind w:left="426"/>
        <w:rPr>
          <w:rFonts w:cstheme="minorHAnsi"/>
          <w:sz w:val="20"/>
          <w:szCs w:val="20"/>
        </w:rPr>
      </w:pP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w:t>
      </w:r>
      <w:r w:rsidR="0063020D" w:rsidRPr="00336832">
        <w:rPr>
          <w:rFonts w:cstheme="minorHAnsi"/>
          <w:sz w:val="20"/>
          <w:szCs w:val="20"/>
        </w:rPr>
        <w:lastRenderedPageBreak/>
        <w:t xml:space="preserve">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300AEDBC" w14:textId="675758D2" w:rsidR="00B77574" w:rsidRDefault="00625B83" w:rsidP="00B77574">
      <w:pPr>
        <w:jc w:val="both"/>
        <w:rPr>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BECD063" w14:textId="438BCF3E" w:rsidR="00B77574" w:rsidRPr="00341AAE" w:rsidRDefault="00B77574" w:rsidP="00B77574">
      <w:pPr>
        <w:pStyle w:val="Paragrafoelenco"/>
        <w:numPr>
          <w:ilvl w:val="0"/>
          <w:numId w:val="24"/>
        </w:numPr>
        <w:jc w:val="both"/>
        <w:rPr>
          <w:rFonts w:ascii="Arial" w:hAnsi="Arial" w:cs="Arial"/>
        </w:rPr>
      </w:pPr>
      <w:r w:rsidRPr="00341AAE">
        <w:rPr>
          <w:rFonts w:ascii="Arial" w:hAnsi="Arial" w:cs="Arial"/>
          <w:b/>
          <w:bCs/>
        </w:rPr>
        <w:t>di disporre di una sede operativa ubicata sul territorio regionale o in una delle regioni confinanti dotata di magazzino tecnico con la dotazione strumentale minima dettagliata all’art.27 del capitolato tecnico prestazionale e con le tempistiche di attivazione descritte nello stesso capitolato e che si impegna a mantenere per tutta la durata del contratto</w:t>
      </w:r>
      <w:r w:rsidRPr="00341AAE">
        <w:rPr>
          <w:rFonts w:ascii="Arial" w:hAnsi="Arial" w:cs="Arial"/>
        </w:rPr>
        <w:t xml:space="preserve">.       </w:t>
      </w:r>
      <w:r w:rsidRPr="00341AAE">
        <w:rPr>
          <w:rFonts w:ascii="Arial" w:hAnsi="Arial" w:cs="Arial"/>
          <w:bdr w:val="single" w:sz="4" w:space="0" w:color="auto"/>
        </w:rPr>
        <w:t xml:space="preserve">SI  </w:t>
      </w:r>
      <w:r w:rsidRPr="00341AAE">
        <w:rPr>
          <w:rFonts w:ascii="Arial" w:hAnsi="Arial" w:cs="Arial"/>
        </w:rPr>
        <w:t xml:space="preserve">             </w:t>
      </w:r>
      <w:r w:rsidRPr="00341AAE">
        <w:rPr>
          <w:rFonts w:ascii="Arial" w:hAnsi="Arial" w:cs="Arial"/>
          <w:bdr w:val="single" w:sz="4" w:space="0" w:color="auto"/>
        </w:rPr>
        <w:t>NO</w:t>
      </w:r>
    </w:p>
    <w:p w14:paraId="4B694801" w14:textId="77777777" w:rsidR="00341AAE" w:rsidRPr="00341AAE" w:rsidRDefault="00341AAE" w:rsidP="00341AAE">
      <w:pPr>
        <w:pStyle w:val="Paragrafoelenco"/>
        <w:jc w:val="both"/>
        <w:rPr>
          <w:rFonts w:ascii="Arial" w:hAnsi="Arial" w:cs="Arial"/>
        </w:rPr>
      </w:pPr>
    </w:p>
    <w:p w14:paraId="661EA3A3" w14:textId="58251E17" w:rsidR="00341AAE" w:rsidRPr="003D6B8D" w:rsidRDefault="00341AAE" w:rsidP="00341AAE">
      <w:pPr>
        <w:pStyle w:val="Paragrafoelenco"/>
        <w:numPr>
          <w:ilvl w:val="0"/>
          <w:numId w:val="24"/>
        </w:numPr>
        <w:suppressAutoHyphens w:val="0"/>
        <w:spacing w:before="60" w:after="60" w:line="276" w:lineRule="auto"/>
        <w:contextualSpacing w:val="0"/>
        <w:jc w:val="both"/>
        <w:rPr>
          <w:rFonts w:ascii="Arial" w:hAnsi="Arial" w:cs="Arial"/>
          <w:b/>
          <w:bCs/>
        </w:rPr>
      </w:pPr>
      <w:r w:rsidRPr="003D6B8D">
        <w:rPr>
          <w:rFonts w:ascii="Arial" w:hAnsi="Arial" w:cs="Arial"/>
          <w:b/>
          <w:bCs/>
        </w:rPr>
        <w:t>aver eseguito</w:t>
      </w:r>
      <w:r w:rsidRPr="003D6B8D">
        <w:rPr>
          <w:rFonts w:ascii="Arial" w:hAnsi="Arial" w:cs="Arial"/>
          <w:b/>
          <w:bCs/>
        </w:rPr>
        <w:t xml:space="preserve"> negli ultimi tre anni, con esito positivo, di servizi di manutenzione di stazioni di rilevamento della qualità dell’aria per almeno 30 stazioni e con un rendimento documentato che non dovrà essere inferiore al 90% calcolato secondo quanto indicato dal </w:t>
      </w:r>
      <w:proofErr w:type="spellStart"/>
      <w:r w:rsidRPr="003D6B8D">
        <w:rPr>
          <w:rFonts w:ascii="Arial" w:hAnsi="Arial" w:cs="Arial"/>
          <w:b/>
          <w:bCs/>
        </w:rPr>
        <w:t>D.Lgs.</w:t>
      </w:r>
      <w:proofErr w:type="spellEnd"/>
      <w:r w:rsidRPr="003D6B8D">
        <w:rPr>
          <w:rFonts w:ascii="Arial" w:hAnsi="Arial" w:cs="Arial"/>
          <w:b/>
          <w:bCs/>
        </w:rPr>
        <w:t xml:space="preserve"> 155/2010 e </w:t>
      </w:r>
      <w:proofErr w:type="spellStart"/>
      <w:r w:rsidRPr="003D6B8D">
        <w:rPr>
          <w:rFonts w:ascii="Arial" w:hAnsi="Arial" w:cs="Arial"/>
          <w:b/>
          <w:bCs/>
        </w:rPr>
        <w:t>s.m.i.</w:t>
      </w:r>
      <w:proofErr w:type="spellEnd"/>
      <w:r w:rsidRPr="003D6B8D">
        <w:rPr>
          <w:rFonts w:ascii="Arial" w:hAnsi="Arial" w:cs="Arial"/>
          <w:b/>
          <w:bCs/>
        </w:rPr>
        <w:t xml:space="preserve"> Per ultimo triennio si intende il periodo antecedente la data di scadenza del bando. E’ ammesso soddisfare il requisito con la somma di massimo tre contratti, </w:t>
      </w:r>
      <w:proofErr w:type="spellStart"/>
      <w:r w:rsidRPr="003D6B8D">
        <w:rPr>
          <w:rFonts w:ascii="Arial" w:hAnsi="Arial" w:cs="Arial"/>
          <w:b/>
          <w:bCs/>
        </w:rPr>
        <w:t>purchè</w:t>
      </w:r>
      <w:proofErr w:type="spellEnd"/>
      <w:r w:rsidRPr="003D6B8D">
        <w:rPr>
          <w:rFonts w:ascii="Arial" w:hAnsi="Arial" w:cs="Arial"/>
          <w:b/>
          <w:bCs/>
        </w:rPr>
        <w:t xml:space="preserve"> ne sia dimostrata la gestione contemporanea per un periodo non inferiore ai 24 mesi.</w: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3181"/>
        <w:gridCol w:w="2268"/>
        <w:gridCol w:w="850"/>
        <w:gridCol w:w="2268"/>
      </w:tblGrid>
      <w:tr w:rsidR="00341AAE" w:rsidRPr="00341AAE" w14:paraId="3C1B8355" w14:textId="77777777" w:rsidTr="00341AAE">
        <w:trPr>
          <w:trHeight w:val="853"/>
        </w:trPr>
        <w:tc>
          <w:tcPr>
            <w:tcW w:w="8567" w:type="dxa"/>
            <w:gridSpan w:val="4"/>
            <w:tcBorders>
              <w:bottom w:val="nil"/>
            </w:tcBorders>
          </w:tcPr>
          <w:p w14:paraId="2B4B0888" w14:textId="77777777" w:rsidR="00341AAE" w:rsidRPr="002634D2" w:rsidRDefault="00341AAE" w:rsidP="004A1958">
            <w:pPr>
              <w:pStyle w:val="TableParagraph"/>
              <w:spacing w:before="125" w:line="254" w:lineRule="auto"/>
              <w:ind w:right="146"/>
              <w:rPr>
                <w:rFonts w:ascii="Arial" w:hAnsi="Arial" w:cs="Arial"/>
                <w:sz w:val="20"/>
                <w:szCs w:val="20"/>
              </w:rPr>
            </w:pPr>
            <w:r w:rsidRPr="002634D2">
              <w:rPr>
                <w:rFonts w:ascii="Arial" w:hAnsi="Arial" w:cs="Arial"/>
                <w:color w:val="00000A"/>
                <w:w w:val="105"/>
                <w:sz w:val="20"/>
                <w:szCs w:val="20"/>
              </w:rPr>
              <w:t>Numero</w:t>
            </w:r>
            <w:r w:rsidRPr="002634D2">
              <w:rPr>
                <w:rFonts w:ascii="Arial" w:hAnsi="Arial" w:cs="Arial"/>
                <w:color w:val="00000A"/>
                <w:spacing w:val="-6"/>
                <w:w w:val="105"/>
                <w:sz w:val="20"/>
                <w:szCs w:val="20"/>
              </w:rPr>
              <w:t xml:space="preserve"> </w:t>
            </w:r>
            <w:r w:rsidRPr="002634D2">
              <w:rPr>
                <w:rFonts w:ascii="Arial" w:hAnsi="Arial" w:cs="Arial"/>
                <w:color w:val="00000A"/>
                <w:w w:val="105"/>
                <w:sz w:val="20"/>
                <w:szCs w:val="20"/>
              </w:rPr>
              <w:t>di</w:t>
            </w:r>
            <w:r w:rsidRPr="002634D2">
              <w:rPr>
                <w:rFonts w:ascii="Arial" w:hAnsi="Arial" w:cs="Arial"/>
                <w:color w:val="00000A"/>
                <w:spacing w:val="-3"/>
                <w:w w:val="105"/>
                <w:sz w:val="20"/>
                <w:szCs w:val="20"/>
              </w:rPr>
              <w:t xml:space="preserve"> </w:t>
            </w:r>
            <w:r w:rsidRPr="002634D2">
              <w:rPr>
                <w:rFonts w:ascii="Arial" w:hAnsi="Arial" w:cs="Arial"/>
                <w:color w:val="00000A"/>
                <w:w w:val="105"/>
                <w:sz w:val="20"/>
                <w:szCs w:val="20"/>
              </w:rPr>
              <w:t>anni</w:t>
            </w:r>
            <w:r w:rsidRPr="002634D2">
              <w:rPr>
                <w:rFonts w:ascii="Arial" w:hAnsi="Arial" w:cs="Arial"/>
                <w:color w:val="00000A"/>
                <w:spacing w:val="-3"/>
                <w:w w:val="105"/>
                <w:sz w:val="20"/>
                <w:szCs w:val="20"/>
              </w:rPr>
              <w:t xml:space="preserve"> </w:t>
            </w:r>
            <w:r w:rsidRPr="002634D2">
              <w:rPr>
                <w:rFonts w:ascii="Arial" w:hAnsi="Arial" w:cs="Arial"/>
                <w:color w:val="00000A"/>
                <w:w w:val="105"/>
                <w:sz w:val="20"/>
                <w:szCs w:val="20"/>
              </w:rPr>
              <w:t>(periodo</w:t>
            </w:r>
            <w:r w:rsidRPr="002634D2">
              <w:rPr>
                <w:rFonts w:ascii="Arial" w:hAnsi="Arial" w:cs="Arial"/>
                <w:color w:val="00000A"/>
                <w:spacing w:val="-7"/>
                <w:w w:val="105"/>
                <w:sz w:val="20"/>
                <w:szCs w:val="20"/>
              </w:rPr>
              <w:t xml:space="preserve"> </w:t>
            </w:r>
            <w:r w:rsidRPr="002634D2">
              <w:rPr>
                <w:rFonts w:ascii="Arial" w:hAnsi="Arial" w:cs="Arial"/>
                <w:color w:val="00000A"/>
                <w:w w:val="105"/>
                <w:sz w:val="20"/>
                <w:szCs w:val="20"/>
              </w:rPr>
              <w:t>specificato</w:t>
            </w:r>
            <w:r w:rsidRPr="002634D2">
              <w:rPr>
                <w:rFonts w:ascii="Arial" w:hAnsi="Arial" w:cs="Arial"/>
                <w:color w:val="00000A"/>
                <w:spacing w:val="-2"/>
                <w:w w:val="105"/>
                <w:sz w:val="20"/>
                <w:szCs w:val="20"/>
              </w:rPr>
              <w:t xml:space="preserve"> </w:t>
            </w:r>
            <w:r w:rsidRPr="002634D2">
              <w:rPr>
                <w:rFonts w:ascii="Arial" w:hAnsi="Arial" w:cs="Arial"/>
                <w:color w:val="00000A"/>
                <w:w w:val="105"/>
                <w:sz w:val="20"/>
                <w:szCs w:val="20"/>
              </w:rPr>
              <w:t>nell'avviso o</w:t>
            </w:r>
            <w:r w:rsidRPr="002634D2">
              <w:rPr>
                <w:rFonts w:ascii="Arial" w:hAnsi="Arial" w:cs="Arial"/>
                <w:color w:val="00000A"/>
                <w:spacing w:val="-6"/>
                <w:w w:val="105"/>
                <w:sz w:val="20"/>
                <w:szCs w:val="20"/>
              </w:rPr>
              <w:t xml:space="preserve"> </w:t>
            </w:r>
            <w:r w:rsidRPr="002634D2">
              <w:rPr>
                <w:rFonts w:ascii="Arial" w:hAnsi="Arial" w:cs="Arial"/>
                <w:color w:val="00000A"/>
                <w:w w:val="105"/>
                <w:sz w:val="20"/>
                <w:szCs w:val="20"/>
              </w:rPr>
              <w:t>bando</w:t>
            </w:r>
            <w:r w:rsidRPr="002634D2">
              <w:rPr>
                <w:rFonts w:ascii="Arial" w:hAnsi="Arial" w:cs="Arial"/>
                <w:color w:val="00000A"/>
                <w:spacing w:val="-5"/>
                <w:w w:val="105"/>
                <w:sz w:val="20"/>
                <w:szCs w:val="20"/>
              </w:rPr>
              <w:t xml:space="preserve"> </w:t>
            </w:r>
            <w:r w:rsidRPr="002634D2">
              <w:rPr>
                <w:rFonts w:ascii="Arial" w:hAnsi="Arial" w:cs="Arial"/>
                <w:color w:val="00000A"/>
                <w:w w:val="105"/>
                <w:sz w:val="20"/>
                <w:szCs w:val="20"/>
              </w:rPr>
              <w:t>pertinente</w:t>
            </w:r>
            <w:r w:rsidRPr="002634D2">
              <w:rPr>
                <w:rFonts w:ascii="Arial" w:hAnsi="Arial" w:cs="Arial"/>
                <w:color w:val="00000A"/>
                <w:spacing w:val="-36"/>
                <w:w w:val="105"/>
                <w:sz w:val="20"/>
                <w:szCs w:val="20"/>
              </w:rPr>
              <w:t xml:space="preserve"> </w:t>
            </w:r>
            <w:r w:rsidRPr="002634D2">
              <w:rPr>
                <w:rFonts w:ascii="Arial" w:hAnsi="Arial" w:cs="Arial"/>
                <w:color w:val="00000A"/>
                <w:w w:val="105"/>
                <w:sz w:val="20"/>
                <w:szCs w:val="20"/>
              </w:rPr>
              <w:t>o</w:t>
            </w:r>
            <w:r w:rsidRPr="002634D2">
              <w:rPr>
                <w:rFonts w:ascii="Arial" w:hAnsi="Arial" w:cs="Arial"/>
                <w:color w:val="00000A"/>
                <w:spacing w:val="-1"/>
                <w:w w:val="105"/>
                <w:sz w:val="20"/>
                <w:szCs w:val="20"/>
              </w:rPr>
              <w:t xml:space="preserve"> </w:t>
            </w:r>
            <w:r w:rsidRPr="002634D2">
              <w:rPr>
                <w:rFonts w:ascii="Arial" w:hAnsi="Arial" w:cs="Arial"/>
                <w:color w:val="00000A"/>
                <w:w w:val="105"/>
                <w:sz w:val="20"/>
                <w:szCs w:val="20"/>
              </w:rPr>
              <w:t>nei</w:t>
            </w:r>
            <w:r w:rsidRPr="002634D2">
              <w:rPr>
                <w:rFonts w:ascii="Arial" w:hAnsi="Arial" w:cs="Arial"/>
                <w:color w:val="00000A"/>
                <w:spacing w:val="-1"/>
                <w:w w:val="105"/>
                <w:sz w:val="20"/>
                <w:szCs w:val="20"/>
              </w:rPr>
              <w:t xml:space="preserve"> </w:t>
            </w:r>
            <w:r w:rsidRPr="002634D2">
              <w:rPr>
                <w:rFonts w:ascii="Arial" w:hAnsi="Arial" w:cs="Arial"/>
                <w:color w:val="00000A"/>
                <w:w w:val="105"/>
                <w:sz w:val="20"/>
                <w:szCs w:val="20"/>
              </w:rPr>
              <w:t>documenti di</w:t>
            </w:r>
            <w:r w:rsidRPr="002634D2">
              <w:rPr>
                <w:rFonts w:ascii="Arial" w:hAnsi="Arial" w:cs="Arial"/>
                <w:color w:val="00000A"/>
                <w:spacing w:val="2"/>
                <w:w w:val="105"/>
                <w:sz w:val="20"/>
                <w:szCs w:val="20"/>
              </w:rPr>
              <w:t xml:space="preserve"> </w:t>
            </w:r>
            <w:r w:rsidRPr="002634D2">
              <w:rPr>
                <w:rFonts w:ascii="Arial" w:hAnsi="Arial" w:cs="Arial"/>
                <w:color w:val="00000A"/>
                <w:w w:val="105"/>
                <w:sz w:val="20"/>
                <w:szCs w:val="20"/>
              </w:rPr>
              <w:t>gara):</w:t>
            </w:r>
          </w:p>
          <w:p w14:paraId="78930B0A" w14:textId="77777777" w:rsidR="00341AAE" w:rsidRPr="002634D2" w:rsidRDefault="00341AAE" w:rsidP="004A1958">
            <w:pPr>
              <w:pStyle w:val="TableParagraph"/>
              <w:spacing w:before="118"/>
              <w:rPr>
                <w:rFonts w:ascii="Arial" w:hAnsi="Arial" w:cs="Arial"/>
                <w:sz w:val="20"/>
                <w:szCs w:val="20"/>
              </w:rPr>
            </w:pPr>
            <w:r w:rsidRPr="002634D2">
              <w:rPr>
                <w:rFonts w:ascii="Arial" w:hAnsi="Arial" w:cs="Arial"/>
                <w:color w:val="00000A"/>
                <w:w w:val="150"/>
                <w:sz w:val="20"/>
                <w:szCs w:val="20"/>
              </w:rPr>
              <w:t>[……………..]</w:t>
            </w:r>
          </w:p>
        </w:tc>
      </w:tr>
      <w:tr w:rsidR="00341AAE" w:rsidRPr="00341AAE" w14:paraId="3E04EEC0" w14:textId="77777777" w:rsidTr="00341AAE">
        <w:trPr>
          <w:trHeight w:val="400"/>
        </w:trPr>
        <w:tc>
          <w:tcPr>
            <w:tcW w:w="3181" w:type="dxa"/>
          </w:tcPr>
          <w:p w14:paraId="068A21BC" w14:textId="77777777" w:rsidR="00341AAE" w:rsidRPr="002634D2" w:rsidRDefault="00341AAE" w:rsidP="004A1958">
            <w:pPr>
              <w:pStyle w:val="TableParagraph"/>
              <w:spacing w:before="125"/>
              <w:ind w:left="86"/>
              <w:rPr>
                <w:rFonts w:ascii="Arial" w:hAnsi="Arial" w:cs="Arial"/>
                <w:sz w:val="20"/>
                <w:szCs w:val="20"/>
              </w:rPr>
            </w:pPr>
            <w:r w:rsidRPr="002634D2">
              <w:rPr>
                <w:rFonts w:ascii="Arial" w:hAnsi="Arial" w:cs="Arial"/>
                <w:color w:val="00000A"/>
                <w:w w:val="105"/>
                <w:sz w:val="20"/>
                <w:szCs w:val="20"/>
              </w:rPr>
              <w:t>Descrizione</w:t>
            </w:r>
          </w:p>
        </w:tc>
        <w:tc>
          <w:tcPr>
            <w:tcW w:w="2268" w:type="dxa"/>
          </w:tcPr>
          <w:p w14:paraId="7C3CD234" w14:textId="77777777" w:rsidR="00341AAE" w:rsidRPr="002634D2" w:rsidRDefault="00341AAE" w:rsidP="004A1958">
            <w:pPr>
              <w:pStyle w:val="TableParagraph"/>
              <w:spacing w:before="125"/>
              <w:ind w:left="84"/>
              <w:rPr>
                <w:rFonts w:ascii="Arial" w:hAnsi="Arial" w:cs="Arial"/>
                <w:sz w:val="20"/>
                <w:szCs w:val="20"/>
              </w:rPr>
            </w:pPr>
            <w:r w:rsidRPr="002634D2">
              <w:rPr>
                <w:rFonts w:ascii="Arial" w:hAnsi="Arial" w:cs="Arial"/>
                <w:color w:val="00000A"/>
                <w:w w:val="105"/>
                <w:sz w:val="20"/>
                <w:szCs w:val="20"/>
              </w:rPr>
              <w:t>importi</w:t>
            </w:r>
          </w:p>
        </w:tc>
        <w:tc>
          <w:tcPr>
            <w:tcW w:w="850" w:type="dxa"/>
          </w:tcPr>
          <w:p w14:paraId="44591BD6" w14:textId="77777777" w:rsidR="00341AAE" w:rsidRPr="002634D2" w:rsidRDefault="00341AAE" w:rsidP="004A1958">
            <w:pPr>
              <w:pStyle w:val="TableParagraph"/>
              <w:spacing w:before="125"/>
              <w:ind w:left="84"/>
              <w:rPr>
                <w:rFonts w:ascii="Arial" w:hAnsi="Arial" w:cs="Arial"/>
                <w:sz w:val="20"/>
                <w:szCs w:val="20"/>
              </w:rPr>
            </w:pPr>
            <w:r w:rsidRPr="002634D2">
              <w:rPr>
                <w:rFonts w:ascii="Arial" w:hAnsi="Arial" w:cs="Arial"/>
                <w:color w:val="00000A"/>
                <w:w w:val="105"/>
                <w:sz w:val="20"/>
                <w:szCs w:val="20"/>
              </w:rPr>
              <w:t>date</w:t>
            </w:r>
          </w:p>
        </w:tc>
        <w:tc>
          <w:tcPr>
            <w:tcW w:w="2268" w:type="dxa"/>
          </w:tcPr>
          <w:p w14:paraId="298DBFD4" w14:textId="77777777" w:rsidR="00341AAE" w:rsidRPr="002634D2" w:rsidRDefault="00341AAE" w:rsidP="004A1958">
            <w:pPr>
              <w:pStyle w:val="TableParagraph"/>
              <w:spacing w:before="125"/>
              <w:ind w:left="84"/>
              <w:rPr>
                <w:rFonts w:ascii="Arial" w:hAnsi="Arial" w:cs="Arial"/>
                <w:sz w:val="20"/>
                <w:szCs w:val="20"/>
              </w:rPr>
            </w:pPr>
            <w:r w:rsidRPr="002634D2">
              <w:rPr>
                <w:rFonts w:ascii="Arial" w:hAnsi="Arial" w:cs="Arial"/>
                <w:color w:val="00000A"/>
                <w:w w:val="105"/>
                <w:sz w:val="20"/>
                <w:szCs w:val="20"/>
              </w:rPr>
              <w:t>destinatari</w:t>
            </w:r>
          </w:p>
        </w:tc>
      </w:tr>
      <w:tr w:rsidR="00341AAE" w:rsidRPr="00341AAE" w14:paraId="3558DB9C" w14:textId="77777777" w:rsidTr="002634D2">
        <w:trPr>
          <w:trHeight w:val="405"/>
        </w:trPr>
        <w:tc>
          <w:tcPr>
            <w:tcW w:w="3181" w:type="dxa"/>
          </w:tcPr>
          <w:p w14:paraId="5E480135" w14:textId="77777777" w:rsidR="00341AAE" w:rsidRPr="00341AAE" w:rsidRDefault="00341AAE" w:rsidP="004A1958">
            <w:pPr>
              <w:pStyle w:val="TableParagraph"/>
              <w:ind w:left="0"/>
              <w:rPr>
                <w:rFonts w:ascii="Arial" w:hAnsi="Arial" w:cs="Arial"/>
              </w:rPr>
            </w:pPr>
          </w:p>
        </w:tc>
        <w:tc>
          <w:tcPr>
            <w:tcW w:w="2268" w:type="dxa"/>
          </w:tcPr>
          <w:p w14:paraId="0B6336B5" w14:textId="77777777" w:rsidR="00341AAE" w:rsidRPr="00341AAE" w:rsidRDefault="00341AAE" w:rsidP="004A1958">
            <w:pPr>
              <w:pStyle w:val="TableParagraph"/>
              <w:ind w:left="0"/>
              <w:rPr>
                <w:rFonts w:ascii="Arial" w:hAnsi="Arial" w:cs="Arial"/>
              </w:rPr>
            </w:pPr>
          </w:p>
        </w:tc>
        <w:tc>
          <w:tcPr>
            <w:tcW w:w="850" w:type="dxa"/>
          </w:tcPr>
          <w:p w14:paraId="7836792B" w14:textId="77777777" w:rsidR="00341AAE" w:rsidRPr="00341AAE" w:rsidRDefault="00341AAE" w:rsidP="004A1958">
            <w:pPr>
              <w:pStyle w:val="TableParagraph"/>
              <w:ind w:left="0"/>
              <w:rPr>
                <w:rFonts w:ascii="Arial" w:hAnsi="Arial" w:cs="Arial"/>
              </w:rPr>
            </w:pPr>
          </w:p>
        </w:tc>
        <w:tc>
          <w:tcPr>
            <w:tcW w:w="2268" w:type="dxa"/>
          </w:tcPr>
          <w:p w14:paraId="5CD36865" w14:textId="77777777" w:rsidR="00341AAE" w:rsidRPr="00341AAE" w:rsidRDefault="00341AAE" w:rsidP="004A1958">
            <w:pPr>
              <w:pStyle w:val="TableParagraph"/>
              <w:ind w:left="0"/>
              <w:rPr>
                <w:rFonts w:ascii="Arial" w:hAnsi="Arial" w:cs="Arial"/>
              </w:rPr>
            </w:pPr>
          </w:p>
        </w:tc>
      </w:tr>
      <w:tr w:rsidR="002634D2" w:rsidRPr="00341AAE" w14:paraId="5E3161F1" w14:textId="77777777" w:rsidTr="002634D2">
        <w:trPr>
          <w:trHeight w:val="405"/>
        </w:trPr>
        <w:tc>
          <w:tcPr>
            <w:tcW w:w="3181" w:type="dxa"/>
          </w:tcPr>
          <w:p w14:paraId="0224176A" w14:textId="77777777" w:rsidR="002634D2" w:rsidRPr="00341AAE" w:rsidRDefault="002634D2" w:rsidP="004A1958">
            <w:pPr>
              <w:pStyle w:val="TableParagraph"/>
              <w:ind w:left="0"/>
              <w:rPr>
                <w:rFonts w:ascii="Arial" w:hAnsi="Arial" w:cs="Arial"/>
              </w:rPr>
            </w:pPr>
          </w:p>
        </w:tc>
        <w:tc>
          <w:tcPr>
            <w:tcW w:w="2268" w:type="dxa"/>
          </w:tcPr>
          <w:p w14:paraId="3DA2F45B" w14:textId="77777777" w:rsidR="002634D2" w:rsidRPr="00341AAE" w:rsidRDefault="002634D2" w:rsidP="004A1958">
            <w:pPr>
              <w:pStyle w:val="TableParagraph"/>
              <w:ind w:left="0"/>
              <w:rPr>
                <w:rFonts w:ascii="Arial" w:hAnsi="Arial" w:cs="Arial"/>
              </w:rPr>
            </w:pPr>
          </w:p>
        </w:tc>
        <w:tc>
          <w:tcPr>
            <w:tcW w:w="850" w:type="dxa"/>
          </w:tcPr>
          <w:p w14:paraId="2F851F67" w14:textId="77777777" w:rsidR="002634D2" w:rsidRPr="00341AAE" w:rsidRDefault="002634D2" w:rsidP="004A1958">
            <w:pPr>
              <w:pStyle w:val="TableParagraph"/>
              <w:ind w:left="0"/>
              <w:rPr>
                <w:rFonts w:ascii="Arial" w:hAnsi="Arial" w:cs="Arial"/>
              </w:rPr>
            </w:pPr>
          </w:p>
        </w:tc>
        <w:tc>
          <w:tcPr>
            <w:tcW w:w="2268" w:type="dxa"/>
          </w:tcPr>
          <w:p w14:paraId="211282D1" w14:textId="77777777" w:rsidR="002634D2" w:rsidRPr="00341AAE" w:rsidRDefault="002634D2" w:rsidP="004A1958">
            <w:pPr>
              <w:pStyle w:val="TableParagraph"/>
              <w:ind w:left="0"/>
              <w:rPr>
                <w:rFonts w:ascii="Arial" w:hAnsi="Arial" w:cs="Arial"/>
              </w:rPr>
            </w:pPr>
          </w:p>
        </w:tc>
      </w:tr>
      <w:tr w:rsidR="002634D2" w:rsidRPr="00341AAE" w14:paraId="324BA922" w14:textId="77777777" w:rsidTr="00341AAE">
        <w:trPr>
          <w:trHeight w:val="405"/>
        </w:trPr>
        <w:tc>
          <w:tcPr>
            <w:tcW w:w="3181" w:type="dxa"/>
            <w:tcBorders>
              <w:bottom w:val="single" w:sz="8" w:space="0" w:color="00000A"/>
            </w:tcBorders>
          </w:tcPr>
          <w:p w14:paraId="5AABC73A" w14:textId="77777777" w:rsidR="002634D2" w:rsidRPr="00341AAE" w:rsidRDefault="002634D2" w:rsidP="004A1958">
            <w:pPr>
              <w:pStyle w:val="TableParagraph"/>
              <w:ind w:left="0"/>
              <w:rPr>
                <w:rFonts w:ascii="Arial" w:hAnsi="Arial" w:cs="Arial"/>
              </w:rPr>
            </w:pPr>
          </w:p>
        </w:tc>
        <w:tc>
          <w:tcPr>
            <w:tcW w:w="2268" w:type="dxa"/>
            <w:tcBorders>
              <w:bottom w:val="single" w:sz="8" w:space="0" w:color="00000A"/>
            </w:tcBorders>
          </w:tcPr>
          <w:p w14:paraId="0B06F083" w14:textId="77777777" w:rsidR="002634D2" w:rsidRPr="00341AAE" w:rsidRDefault="002634D2" w:rsidP="004A1958">
            <w:pPr>
              <w:pStyle w:val="TableParagraph"/>
              <w:ind w:left="0"/>
              <w:rPr>
                <w:rFonts w:ascii="Arial" w:hAnsi="Arial" w:cs="Arial"/>
              </w:rPr>
            </w:pPr>
          </w:p>
        </w:tc>
        <w:tc>
          <w:tcPr>
            <w:tcW w:w="850" w:type="dxa"/>
            <w:tcBorders>
              <w:bottom w:val="single" w:sz="8" w:space="0" w:color="00000A"/>
            </w:tcBorders>
          </w:tcPr>
          <w:p w14:paraId="24458F68" w14:textId="77777777" w:rsidR="002634D2" w:rsidRPr="00341AAE" w:rsidRDefault="002634D2" w:rsidP="004A1958">
            <w:pPr>
              <w:pStyle w:val="TableParagraph"/>
              <w:ind w:left="0"/>
              <w:rPr>
                <w:rFonts w:ascii="Arial" w:hAnsi="Arial" w:cs="Arial"/>
              </w:rPr>
            </w:pPr>
          </w:p>
        </w:tc>
        <w:tc>
          <w:tcPr>
            <w:tcW w:w="2268" w:type="dxa"/>
            <w:tcBorders>
              <w:bottom w:val="single" w:sz="8" w:space="0" w:color="00000A"/>
            </w:tcBorders>
          </w:tcPr>
          <w:p w14:paraId="1B9B5D01" w14:textId="77777777" w:rsidR="002634D2" w:rsidRPr="00341AAE" w:rsidRDefault="002634D2" w:rsidP="004A1958">
            <w:pPr>
              <w:pStyle w:val="TableParagraph"/>
              <w:ind w:left="0"/>
              <w:rPr>
                <w:rFonts w:ascii="Arial" w:hAnsi="Arial" w:cs="Arial"/>
              </w:rPr>
            </w:pPr>
          </w:p>
        </w:tc>
      </w:tr>
    </w:tbl>
    <w:p w14:paraId="5AD46CC1" w14:textId="77777777" w:rsidR="00B77574" w:rsidRDefault="00B77574" w:rsidP="00341AAE">
      <w:pPr>
        <w:pStyle w:val="Paragrafoelenco"/>
        <w:jc w:val="both"/>
        <w:rPr>
          <w:sz w:val="20"/>
          <w:szCs w:val="20"/>
        </w:rPr>
      </w:pPr>
    </w:p>
    <w:p w14:paraId="0B8FD87D" w14:textId="0C9E97ED" w:rsidR="00341AAE" w:rsidRPr="00341AAE" w:rsidRDefault="00341AAE" w:rsidP="00341AAE">
      <w:pPr>
        <w:pStyle w:val="Paragrafoelenco"/>
        <w:jc w:val="both"/>
        <w:rPr>
          <w:rFonts w:ascii="Arial" w:hAnsi="Arial" w:cs="Arial"/>
        </w:rPr>
      </w:pPr>
      <w:r w:rsidRPr="00341AAE">
        <w:rPr>
          <w:rFonts w:ascii="Arial" w:hAnsi="Arial" w:cs="Arial"/>
          <w:b/>
          <w:bCs/>
          <w:color w:val="00000A"/>
          <w:w w:val="105"/>
        </w:rPr>
        <w:t>NB: allegare documentazione a comprova del rendimento di cui sopra</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28956353" w14:textId="0D813AE9" w:rsidR="00C41162"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10194048" w14:textId="77777777" w:rsidR="00EA0567" w:rsidRDefault="00EA0567" w:rsidP="00026CF4">
      <w:pPr>
        <w:ind w:left="284" w:hanging="284"/>
        <w:jc w:val="both"/>
        <w:rPr>
          <w:sz w:val="20"/>
          <w:szCs w:val="20"/>
        </w:rPr>
      </w:pPr>
    </w:p>
    <w:p w14:paraId="128121BD" w14:textId="495776F4" w:rsidR="00B77574" w:rsidRPr="00EA0567" w:rsidRDefault="00B77574" w:rsidP="00B77574">
      <w:pPr>
        <w:pStyle w:val="Paragrafoelenco"/>
        <w:numPr>
          <w:ilvl w:val="0"/>
          <w:numId w:val="24"/>
        </w:numPr>
        <w:jc w:val="both"/>
        <w:rPr>
          <w:rFonts w:ascii="Arial" w:hAnsi="Arial" w:cs="Arial"/>
        </w:rPr>
      </w:pPr>
      <w:r w:rsidRPr="00EA0567">
        <w:rPr>
          <w:rFonts w:ascii="Arial" w:hAnsi="Arial" w:cs="Arial"/>
          <w:b/>
          <w:bCs/>
        </w:rPr>
        <w:t>qualora non fosse titolare ad oggi di una sede operativa del tipo richiesto si impegna a costituirne almeno una entro e non oltre il termine essenziale di novanta giorni dalla data di ricezione della comunicazione di aggiudicazione ed a mantenerla per tutta la durata del medesimo, fatta salva la possibilità di proroga da concedersi per una sola volta</w:t>
      </w:r>
      <w:r w:rsidR="00016E4B" w:rsidRPr="00EA0567">
        <w:rPr>
          <w:rFonts w:ascii="Arial" w:hAnsi="Arial" w:cs="Arial"/>
        </w:rPr>
        <w:t xml:space="preserve">. </w:t>
      </w:r>
      <w:r w:rsidRPr="00EA0567">
        <w:rPr>
          <w:rFonts w:ascii="Arial" w:hAnsi="Arial" w:cs="Arial"/>
        </w:rPr>
        <w:t xml:space="preserve">       </w:t>
      </w:r>
      <w:r w:rsidRPr="00EA0567">
        <w:rPr>
          <w:rFonts w:ascii="Arial" w:hAnsi="Arial" w:cs="Arial"/>
          <w:bdr w:val="single" w:sz="4" w:space="0" w:color="auto"/>
        </w:rPr>
        <w:t xml:space="preserve">SI  </w:t>
      </w:r>
      <w:r w:rsidRPr="00EA0567">
        <w:rPr>
          <w:rFonts w:ascii="Arial" w:hAnsi="Arial" w:cs="Arial"/>
        </w:rPr>
        <w:t xml:space="preserve">             </w:t>
      </w:r>
      <w:r w:rsidRPr="00EA0567">
        <w:rPr>
          <w:rFonts w:ascii="Arial" w:hAnsi="Arial" w:cs="Arial"/>
          <w:bdr w:val="single" w:sz="4" w:space="0" w:color="auto"/>
        </w:rPr>
        <w:t>NO</w:t>
      </w:r>
    </w:p>
    <w:p w14:paraId="6B2DB271" w14:textId="77777777" w:rsidR="00B77574" w:rsidRPr="00B77574" w:rsidRDefault="00B77574" w:rsidP="00026CF4">
      <w:pPr>
        <w:ind w:left="284" w:hanging="284"/>
        <w:jc w:val="both"/>
        <w:rPr>
          <w:iCs/>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6488" w14:textId="77777777" w:rsidR="001B6317" w:rsidRDefault="001B6317">
      <w:pPr>
        <w:spacing w:after="0" w:line="240" w:lineRule="auto"/>
      </w:pPr>
      <w:r>
        <w:separator/>
      </w:r>
    </w:p>
  </w:endnote>
  <w:endnote w:type="continuationSeparator" w:id="0">
    <w:p w14:paraId="1AC4DE8B" w14:textId="77777777" w:rsidR="001B6317" w:rsidRDefault="001B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altName w:val="Calibri"/>
    <w:charset w:val="00"/>
    <w:family w:val="moder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6CD5" w14:textId="77777777" w:rsidR="001B6317" w:rsidRDefault="001B6317">
      <w:pPr>
        <w:rPr>
          <w:sz w:val="12"/>
        </w:rPr>
      </w:pPr>
      <w:r>
        <w:separator/>
      </w:r>
    </w:p>
  </w:footnote>
  <w:footnote w:type="continuationSeparator" w:id="0">
    <w:p w14:paraId="2A4ED135" w14:textId="77777777" w:rsidR="001B6317" w:rsidRDefault="001B6317">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096DA9"/>
    <w:multiLevelType w:val="hybridMultilevel"/>
    <w:tmpl w:val="1EF4F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62EA7"/>
    <w:multiLevelType w:val="hybridMultilevel"/>
    <w:tmpl w:val="F660829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BFC1BAC"/>
    <w:multiLevelType w:val="hybridMultilevel"/>
    <w:tmpl w:val="7DC6A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45527D"/>
    <w:multiLevelType w:val="multilevel"/>
    <w:tmpl w:val="84C60394"/>
    <w:lvl w:ilvl="0">
      <w:start w:val="1"/>
      <w:numFmt w:val="lowerLetter"/>
      <w:lvlText w:val="%1)"/>
      <w:lvlJc w:val="left"/>
      <w:pPr>
        <w:ind w:left="720" w:hanging="360"/>
      </w:pPr>
      <w:rPr>
        <w:rFonts w:eastAsia="Times New Roman"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4" w15:restartNumberingAfterBreak="0">
    <w:nsid w:val="44B4728B"/>
    <w:multiLevelType w:val="multilevel"/>
    <w:tmpl w:val="1A209C00"/>
    <w:lvl w:ilvl="0">
      <w:start w:val="1"/>
      <w:numFmt w:val="lowerLetter"/>
      <w:lvlText w:val="%1)"/>
      <w:lvlJc w:val="left"/>
      <w:pPr>
        <w:ind w:left="502" w:hanging="360"/>
      </w:pPr>
      <w:rPr>
        <w:rFonts w:ascii="Titillium" w:hAnsi="Titillium" w:hint="default"/>
        <w:b/>
        <w:i w:val="0"/>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7" w15:restartNumberingAfterBreak="0">
    <w:nsid w:val="5281551B"/>
    <w:multiLevelType w:val="multilevel"/>
    <w:tmpl w:val="5F06D318"/>
    <w:lvl w:ilvl="0">
      <w:start w:val="1"/>
      <w:numFmt w:val="decimal"/>
      <w:lvlText w:val="%1."/>
      <w:lvlJc w:val="left"/>
      <w:pPr>
        <w:tabs>
          <w:tab w:val="num" w:pos="-143"/>
        </w:tabs>
        <w:ind w:left="50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7"/>
  </w:num>
  <w:num w:numId="2" w16cid:durableId="1747532144">
    <w:abstractNumId w:val="21"/>
  </w:num>
  <w:num w:numId="3" w16cid:durableId="194126910">
    <w:abstractNumId w:val="12"/>
  </w:num>
  <w:num w:numId="4" w16cid:durableId="1814369190">
    <w:abstractNumId w:val="16"/>
  </w:num>
  <w:num w:numId="5" w16cid:durableId="1082027215">
    <w:abstractNumId w:val="2"/>
  </w:num>
  <w:num w:numId="6" w16cid:durableId="1677995524">
    <w:abstractNumId w:val="20"/>
  </w:num>
  <w:num w:numId="7" w16cid:durableId="687757341">
    <w:abstractNumId w:val="9"/>
  </w:num>
  <w:num w:numId="8" w16cid:durableId="438110404">
    <w:abstractNumId w:val="24"/>
  </w:num>
  <w:num w:numId="9" w16cid:durableId="2124886931">
    <w:abstractNumId w:val="7"/>
  </w:num>
  <w:num w:numId="10" w16cid:durableId="601105162">
    <w:abstractNumId w:val="1"/>
  </w:num>
  <w:num w:numId="11" w16cid:durableId="805709151">
    <w:abstractNumId w:val="18"/>
  </w:num>
  <w:num w:numId="12" w16cid:durableId="1677229606">
    <w:abstractNumId w:val="6"/>
  </w:num>
  <w:num w:numId="13" w16cid:durableId="1279991465">
    <w:abstractNumId w:val="19"/>
  </w:num>
  <w:num w:numId="14" w16cid:durableId="1762336574">
    <w:abstractNumId w:val="0"/>
  </w:num>
  <w:num w:numId="15" w16cid:durableId="1712337772">
    <w:abstractNumId w:val="13"/>
  </w:num>
  <w:num w:numId="16" w16cid:durableId="31929685">
    <w:abstractNumId w:val="3"/>
  </w:num>
  <w:num w:numId="17" w16cid:durableId="797067071">
    <w:abstractNumId w:val="22"/>
  </w:num>
  <w:num w:numId="18" w16cid:durableId="446583041">
    <w:abstractNumId w:val="15"/>
  </w:num>
  <w:num w:numId="19" w16cid:durableId="1008361891">
    <w:abstractNumId w:val="23"/>
  </w:num>
  <w:num w:numId="20" w16cid:durableId="875581552">
    <w:abstractNumId w:val="4"/>
  </w:num>
  <w:num w:numId="21" w16cid:durableId="1997148234">
    <w:abstractNumId w:val="14"/>
  </w:num>
  <w:num w:numId="22" w16cid:durableId="25328582">
    <w:abstractNumId w:val="8"/>
  </w:num>
  <w:num w:numId="23" w16cid:durableId="363143414">
    <w:abstractNumId w:val="10"/>
  </w:num>
  <w:num w:numId="24" w16cid:durableId="452477926">
    <w:abstractNumId w:val="5"/>
  </w:num>
  <w:num w:numId="25" w16cid:durableId="1249196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6E4B"/>
    <w:rsid w:val="0001722B"/>
    <w:rsid w:val="0002682A"/>
    <w:rsid w:val="00026CF4"/>
    <w:rsid w:val="00043A6C"/>
    <w:rsid w:val="00054595"/>
    <w:rsid w:val="00054D09"/>
    <w:rsid w:val="00062E83"/>
    <w:rsid w:val="0007145E"/>
    <w:rsid w:val="00073E26"/>
    <w:rsid w:val="00074F3D"/>
    <w:rsid w:val="000805C3"/>
    <w:rsid w:val="00090110"/>
    <w:rsid w:val="00091E8A"/>
    <w:rsid w:val="00093F68"/>
    <w:rsid w:val="00097176"/>
    <w:rsid w:val="000978E4"/>
    <w:rsid w:val="000A1573"/>
    <w:rsid w:val="000A46B8"/>
    <w:rsid w:val="000A652B"/>
    <w:rsid w:val="000A7D4D"/>
    <w:rsid w:val="000B1402"/>
    <w:rsid w:val="000B1C73"/>
    <w:rsid w:val="000B272E"/>
    <w:rsid w:val="000B2CC0"/>
    <w:rsid w:val="000B5F09"/>
    <w:rsid w:val="000B6092"/>
    <w:rsid w:val="000C1DDB"/>
    <w:rsid w:val="000C6388"/>
    <w:rsid w:val="000D08AE"/>
    <w:rsid w:val="000D2BAA"/>
    <w:rsid w:val="000D60E4"/>
    <w:rsid w:val="000E5869"/>
    <w:rsid w:val="000F3ED7"/>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317"/>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34D2"/>
    <w:rsid w:val="00264936"/>
    <w:rsid w:val="00266C56"/>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1AAE"/>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D6B8D"/>
    <w:rsid w:val="003E4918"/>
    <w:rsid w:val="003E579E"/>
    <w:rsid w:val="003E6494"/>
    <w:rsid w:val="003E6A0D"/>
    <w:rsid w:val="003F779C"/>
    <w:rsid w:val="0041103F"/>
    <w:rsid w:val="00422BD8"/>
    <w:rsid w:val="00432C93"/>
    <w:rsid w:val="00433C3B"/>
    <w:rsid w:val="004347BB"/>
    <w:rsid w:val="00444DAB"/>
    <w:rsid w:val="00446093"/>
    <w:rsid w:val="00450D0B"/>
    <w:rsid w:val="00451779"/>
    <w:rsid w:val="004527C2"/>
    <w:rsid w:val="00461D21"/>
    <w:rsid w:val="00475294"/>
    <w:rsid w:val="0047541F"/>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475CF"/>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A59A1"/>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57C49"/>
    <w:rsid w:val="00866902"/>
    <w:rsid w:val="00871A6D"/>
    <w:rsid w:val="00873CAF"/>
    <w:rsid w:val="00887A7F"/>
    <w:rsid w:val="00890D7B"/>
    <w:rsid w:val="008916E0"/>
    <w:rsid w:val="008A24EC"/>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87352"/>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1468F"/>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77574"/>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C751B"/>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216A"/>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973C2"/>
    <w:rsid w:val="00EA0567"/>
    <w:rsid w:val="00EA748E"/>
    <w:rsid w:val="00EB159C"/>
    <w:rsid w:val="00EB22FE"/>
    <w:rsid w:val="00EB37F0"/>
    <w:rsid w:val="00EB4EFE"/>
    <w:rsid w:val="00EC541D"/>
    <w:rsid w:val="00EC7107"/>
    <w:rsid w:val="00EE4127"/>
    <w:rsid w:val="00F05ACD"/>
    <w:rsid w:val="00F11A2B"/>
    <w:rsid w:val="00F21D50"/>
    <w:rsid w:val="00F2220F"/>
    <w:rsid w:val="00F27E15"/>
    <w:rsid w:val="00F338A3"/>
    <w:rsid w:val="00F33937"/>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sche4">
    <w:name w:val="sche_4"/>
    <w:rsid w:val="00A1468F"/>
    <w:pPr>
      <w:jc w:val="both"/>
    </w:pPr>
    <w:rPr>
      <w:rFonts w:ascii="Helvetica" w:eastAsia="Times New Roman" w:hAnsi="Helvetica" w:cs="Helvetica"/>
      <w:sz w:val="20"/>
      <w:szCs w:val="20"/>
      <w:lang w:val="en-US" w:eastAsia="ar-SA"/>
    </w:rPr>
  </w:style>
  <w:style w:type="paragraph" w:customStyle="1" w:styleId="Testonormale1">
    <w:name w:val="Testo normale1"/>
    <w:basedOn w:val="Normale"/>
    <w:rsid w:val="00A1468F"/>
    <w:pPr>
      <w:spacing w:after="0" w:line="240" w:lineRule="auto"/>
    </w:pPr>
    <w:rPr>
      <w:rFonts w:ascii="Courier New" w:eastAsia="Times New Roman" w:hAnsi="Courier New" w:cs="Courier New"/>
      <w:sz w:val="20"/>
      <w:szCs w:val="20"/>
      <w:lang w:eastAsia="ar-SA"/>
    </w:rPr>
  </w:style>
  <w:style w:type="character" w:styleId="Collegamentoipertestuale">
    <w:name w:val="Hyperlink"/>
    <w:rsid w:val="00857C49"/>
    <w:rPr>
      <w:rFonts w:cs="Times New Roman"/>
      <w:color w:val="0000FF"/>
      <w:u w:val="single"/>
    </w:rPr>
  </w:style>
  <w:style w:type="paragraph" w:customStyle="1" w:styleId="usoboll1">
    <w:name w:val="usoboll1"/>
    <w:basedOn w:val="Normale"/>
    <w:link w:val="usoboll1Carattere"/>
    <w:rsid w:val="00DF216A"/>
    <w:pPr>
      <w:widowControl w:val="0"/>
      <w:suppressAutoHyphens w:val="0"/>
      <w:spacing w:after="0" w:line="482" w:lineRule="exact"/>
      <w:jc w:val="both"/>
    </w:pPr>
    <w:rPr>
      <w:rFonts w:ascii="Book Antiqua" w:eastAsia="Calibri" w:hAnsi="Book Antiqua" w:cs="Times New Roman"/>
      <w:sz w:val="24"/>
      <w:szCs w:val="20"/>
      <w:lang w:eastAsia="it-IT"/>
    </w:rPr>
  </w:style>
  <w:style w:type="character" w:customStyle="1" w:styleId="usoboll1Carattere">
    <w:name w:val="usoboll1 Carattere"/>
    <w:link w:val="usoboll1"/>
    <w:locked/>
    <w:rsid w:val="00DF216A"/>
    <w:rPr>
      <w:rFonts w:ascii="Book Antiqua" w:eastAsia="Calibri" w:hAnsi="Book Antiqua" w:cs="Times New Roman"/>
      <w:sz w:val="24"/>
      <w:szCs w:val="20"/>
      <w:lang w:eastAsia="it-IT"/>
    </w:rPr>
  </w:style>
  <w:style w:type="paragraph" w:customStyle="1" w:styleId="TableParagraph">
    <w:name w:val="Table Paragraph"/>
    <w:basedOn w:val="Normale"/>
    <w:uiPriority w:val="99"/>
    <w:rsid w:val="00341AAE"/>
    <w:pPr>
      <w:widowControl w:val="0"/>
      <w:suppressAutoHyphens w:val="0"/>
      <w:autoSpaceDE w:val="0"/>
      <w:autoSpaceDN w:val="0"/>
      <w:spacing w:after="0" w:line="240" w:lineRule="auto"/>
      <w:ind w:left="88"/>
    </w:pPr>
    <w:rPr>
      <w:rFonts w:ascii="Microsoft Sans Serif" w:eastAsia="Calibri"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rpa.piemonte.it/istituzionale/amministrazione-trasparente/disposizioni-generali/atti-genera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3228</Words>
  <Characters>18401</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Roberta Pasin</cp:lastModifiedBy>
  <cp:revision>14</cp:revision>
  <cp:lastPrinted>2025-10-02T09:24:00Z</cp:lastPrinted>
  <dcterms:created xsi:type="dcterms:W3CDTF">2025-10-02T10:07:00Z</dcterms:created>
  <dcterms:modified xsi:type="dcterms:W3CDTF">2026-03-30T07:45:00Z</dcterms:modified>
  <dc:language>it-IT</dc:language>
</cp:coreProperties>
</file>