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822" w14:textId="3A3CDD5B" w:rsidR="00323F47" w:rsidRDefault="003B1EEA">
      <w:pPr>
        <w:spacing w:after="17" w:line="259" w:lineRule="auto"/>
        <w:ind w:left="0" w:right="0" w:firstLine="0"/>
        <w:jc w:val="left"/>
      </w:pPr>
      <w:r>
        <w:rPr>
          <w:sz w:val="20"/>
        </w:rPr>
        <w:t>Allegato “</w:t>
      </w:r>
      <w:r w:rsidR="00986369">
        <w:rPr>
          <w:sz w:val="20"/>
        </w:rPr>
        <w:t>4</w:t>
      </w:r>
      <w:r>
        <w:rPr>
          <w:sz w:val="20"/>
        </w:rPr>
        <w:t xml:space="preserve">” </w:t>
      </w:r>
    </w:p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4B007CEF" w:rsidR="00323F47" w:rsidRDefault="003B1EEA">
      <w:pPr>
        <w:spacing w:after="0" w:line="357" w:lineRule="auto"/>
        <w:ind w:left="-5" w:right="326"/>
      </w:pPr>
      <w:r>
        <w:t>Il sottoscritto________________</w:t>
      </w:r>
      <w:proofErr w:type="gramStart"/>
      <w:r>
        <w:t>_ ,</w:t>
      </w:r>
      <w:proofErr w:type="gramEnd"/>
      <w:r>
        <w:t xml:space="preserve">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36/2023,   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16F2A196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CCNL  per</w:t>
            </w:r>
            <w:proofErr w:type="gramEnd"/>
            <w:r>
              <w:rPr>
                <w:b/>
              </w:rPr>
              <w:t xml:space="preserve"> i </w:t>
            </w:r>
            <w:r w:rsidR="00B066CE">
              <w:rPr>
                <w:b/>
              </w:rPr>
              <w:t xml:space="preserve">lavoratori addetti all’industria metalmeccanica privata e alla installazione di impianti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6ADEC532" w:rsidR="00323F47" w:rsidRDefault="00157295">
            <w:pPr>
              <w:spacing w:after="0" w:line="259" w:lineRule="auto"/>
              <w:ind w:left="108" w:right="0" w:firstLine="0"/>
              <w:jc w:val="left"/>
            </w:pPr>
            <w:r w:rsidRPr="00157295">
              <w:t>Retribuzione tabellare annuale (mensile per 12+</w:t>
            </w:r>
            <w:proofErr w:type="gramStart"/>
            <w:r w:rsidRPr="00157295">
              <w:t>13</w:t>
            </w:r>
            <w:r w:rsidRPr="00157295">
              <w:rPr>
                <w:vertAlign w:val="superscript"/>
              </w:rPr>
              <w:t>ma</w:t>
            </w:r>
            <w:proofErr w:type="gramEnd"/>
            <w:r w:rsidRPr="00157295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D46B1" w14:textId="5FA6F6EE" w:rsidR="00BA3E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D1 </w:t>
            </w:r>
            <w:r w:rsidR="00157295" w:rsidRPr="00157295">
              <w:t>20.268,43</w:t>
            </w:r>
          </w:p>
          <w:p w14:paraId="79D5FA09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D2 </w:t>
            </w:r>
            <w:r w:rsidR="00157295" w:rsidRPr="00157295">
              <w:t>22.437,35</w:t>
            </w:r>
          </w:p>
          <w:p w14:paraId="3BF06846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C1 </w:t>
            </w:r>
            <w:r w:rsidR="00157295" w:rsidRPr="00157295">
              <w:t>22.961,9</w:t>
            </w:r>
          </w:p>
          <w:p w14:paraId="55AE6008" w14:textId="738F9904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C2 </w:t>
            </w:r>
            <w:r w:rsidR="00157295" w:rsidRPr="00157295">
              <w:t>23.447,32</w:t>
            </w:r>
          </w:p>
          <w:p w14:paraId="501530E4" w14:textId="4ABEC1B8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C3 </w:t>
            </w:r>
            <w:r w:rsidR="00157295" w:rsidRPr="00157295">
              <w:t>25.124,32</w:t>
            </w:r>
          </w:p>
          <w:p w14:paraId="238DAF33" w14:textId="4364801E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B1 </w:t>
            </w:r>
            <w:r w:rsidR="00157295" w:rsidRPr="00157295">
              <w:t>26.915,85</w:t>
            </w:r>
          </w:p>
          <w:p w14:paraId="69250405" w14:textId="1F40C721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B2 </w:t>
            </w:r>
            <w:r w:rsidR="00157295" w:rsidRPr="00157295">
              <w:t>28.876,25</w:t>
            </w:r>
          </w:p>
          <w:p w14:paraId="663149A6" w14:textId="089A0D9D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B3 </w:t>
            </w:r>
            <w:r w:rsidR="00157295" w:rsidRPr="00157295">
              <w:t>32.238,83</w:t>
            </w:r>
          </w:p>
          <w:p w14:paraId="15DA16CC" w14:textId="4B613E86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A1 </w:t>
            </w:r>
            <w:r w:rsidR="00157295" w:rsidRPr="00157295">
              <w:t>33.009,86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B614B" w14:textId="3C9182D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D1 511,26</w:t>
            </w:r>
          </w:p>
          <w:p w14:paraId="4CB01824" w14:textId="2B14A6B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D2 514,03</w:t>
            </w:r>
          </w:p>
          <w:p w14:paraId="1A9B0921" w14:textId="47B33105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C1 516,07</w:t>
            </w:r>
          </w:p>
          <w:p w14:paraId="48B9F601" w14:textId="34B97B0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C2 517,83</w:t>
            </w:r>
          </w:p>
          <w:p w14:paraId="211F54FD" w14:textId="5DE6CBE3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C3 521,08</w:t>
            </w:r>
          </w:p>
          <w:p w14:paraId="4A0C3278" w14:textId="62BFB517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B1 523,45</w:t>
            </w:r>
          </w:p>
          <w:p w14:paraId="50F90726" w14:textId="792B692B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B2 526,99</w:t>
            </w:r>
          </w:p>
          <w:p w14:paraId="7C9429AC" w14:textId="5B25C9AF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B3 530,91</w:t>
            </w:r>
          </w:p>
          <w:p w14:paraId="00C40B80" w14:textId="7DD570F5" w:rsidR="00323F47" w:rsidRDefault="00323F47" w:rsidP="00BA3E95">
            <w:pPr>
              <w:spacing w:after="0" w:line="259" w:lineRule="auto"/>
              <w:ind w:left="0" w:right="2" w:firstLine="0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1F3455F2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>Dal 2013 conglobato nella retribuzione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543189CE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Art.5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A37FC" w14:textId="73EE69A3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13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24BE750C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  7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B45CF" w14:textId="77777777" w:rsidR="00BA3E95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trasferta invece del rimborso spese € 44,12</w:t>
            </w:r>
          </w:p>
          <w:p w14:paraId="4B8D23B9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reperibilità</w:t>
            </w:r>
          </w:p>
          <w:p w14:paraId="7DF14C81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mensa</w:t>
            </w:r>
          </w:p>
          <w:p w14:paraId="5900E5C3" w14:textId="59177A29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Premio di risultato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02C5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  <w:r>
              <w:t>Art. 7 Titolo I</w:t>
            </w:r>
          </w:p>
          <w:p w14:paraId="5E5FBEC8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5ED956FB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12D325F9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216F71F4" w14:textId="77777777" w:rsidR="00323F47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6 Titolo III</w:t>
            </w:r>
          </w:p>
          <w:p w14:paraId="232F4FBC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  <w:p w14:paraId="056CC9CE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8 Titolo IV</w:t>
            </w:r>
          </w:p>
          <w:p w14:paraId="127B4867" w14:textId="2102BC33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12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rif.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rif.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</w:t>
            </w:r>
            <w:proofErr w:type="gramStart"/>
            <w:r>
              <w:t xml:space="preserve">nel </w:t>
            </w:r>
            <w:r>
              <w:rPr>
                <w:i/>
              </w:rPr>
              <w:t>part</w:t>
            </w:r>
            <w:proofErr w:type="gramEnd"/>
            <w:r>
              <w:rPr>
                <w:i/>
              </w:rPr>
              <w:t>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462C38A2" w:rsidR="00323F47" w:rsidRDefault="006E50D9">
            <w:pPr>
              <w:spacing w:after="0" w:line="259" w:lineRule="auto"/>
              <w:ind w:left="63" w:right="0" w:firstLine="0"/>
              <w:jc w:val="center"/>
            </w:pPr>
            <w:r>
              <w:t>25%</w:t>
            </w: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7A287399" w:rsidR="00323F47" w:rsidRDefault="006E50D9">
            <w:pPr>
              <w:spacing w:after="0" w:line="259" w:lineRule="auto"/>
              <w:ind w:left="66" w:right="0" w:firstLine="0"/>
              <w:jc w:val="center"/>
            </w:pPr>
            <w:r>
              <w:t xml:space="preserve">Nota </w:t>
            </w:r>
            <w:proofErr w:type="gramStart"/>
            <w:r>
              <w:t>verbale  pag</w:t>
            </w:r>
            <w:proofErr w:type="gramEnd"/>
            <w:r>
              <w:t xml:space="preserve"> 52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692"/>
        <w:gridCol w:w="1260"/>
        <w:gridCol w:w="1126"/>
        <w:gridCol w:w="1445"/>
        <w:gridCol w:w="773"/>
        <w:gridCol w:w="902"/>
        <w:gridCol w:w="1429"/>
      </w:tblGrid>
      <w:tr w:rsidR="00323F47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rif.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rif. articoli </w:t>
            </w:r>
          </w:p>
        </w:tc>
      </w:tr>
      <w:tr w:rsidR="00323F47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99A69A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2 h gg</w:t>
            </w:r>
          </w:p>
          <w:p w14:paraId="21348157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8</w:t>
            </w:r>
            <w:proofErr w:type="gramEnd"/>
            <w:r>
              <w:t xml:space="preserve"> ore settimanali</w:t>
            </w:r>
          </w:p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11EB396E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>Art 7 Titolo III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4510C4C0" w:rsidR="00E73DA0" w:rsidRDefault="00FE1112">
            <w:pPr>
              <w:spacing w:after="0" w:line="259" w:lineRule="auto"/>
              <w:ind w:left="0" w:right="7" w:firstLine="0"/>
              <w:jc w:val="center"/>
            </w:pPr>
            <w:r>
              <w:t>32 ore permessso</w:t>
            </w:r>
            <w:r w:rsidR="003B1EEA">
              <w:t xml:space="preserve"> Spetta anche </w:t>
            </w:r>
            <w:proofErr w:type="gramStart"/>
            <w:r w:rsidR="003B1EEA">
              <w:t>se  cade</w:t>
            </w:r>
            <w:proofErr w:type="gramEnd"/>
            <w:r w:rsidR="003B1EEA">
              <w:t xml:space="preserve"> nei giorni di sabato e domenica</w:t>
            </w:r>
            <w:r w:rsidR="00E73DA0"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79A77D78" w:rsidR="00E73DA0" w:rsidRDefault="00FE1112">
            <w:pPr>
              <w:spacing w:after="0" w:line="259" w:lineRule="auto"/>
              <w:ind w:left="0" w:right="3" w:firstLine="0"/>
              <w:jc w:val="center"/>
            </w:pPr>
            <w:r>
              <w:t>Art. 5 Titolo III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C5B5B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2,D3 1 mese e mezzo</w:t>
            </w:r>
          </w:p>
          <w:p w14:paraId="7661290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 B1</w:t>
            </w:r>
          </w:p>
          <w:p w14:paraId="2894F0F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E mesi</w:t>
            </w:r>
          </w:p>
          <w:p w14:paraId="68579324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B2, B3, A1</w:t>
            </w:r>
          </w:p>
          <w:p w14:paraId="6B6956DF" w14:textId="77777777" w:rsidR="00323F47" w:rsidRDefault="00FE1112" w:rsidP="003B1EEA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6</w:t>
            </w:r>
            <w:proofErr w:type="gramEnd"/>
            <w:r>
              <w:t xml:space="preserve"> mesi</w:t>
            </w:r>
            <w:r w:rsidR="003B1EEA">
              <w:t xml:space="preserve"> </w:t>
            </w:r>
          </w:p>
          <w:p w14:paraId="244D6414" w14:textId="7BB99E6F" w:rsidR="007473E1" w:rsidRDefault="007473E1" w:rsidP="003B1EEA">
            <w:pPr>
              <w:spacing w:after="0" w:line="259" w:lineRule="auto"/>
              <w:ind w:left="0" w:right="6" w:firstLine="0"/>
              <w:jc w:val="center"/>
            </w:pPr>
            <w:r>
              <w:t>Esiste possibilità riduzione termini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60613F1B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</w:t>
            </w:r>
            <w:r w:rsidR="007473E1">
              <w:t>2 Titolo 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85F7A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&lt; 5 anni</w:t>
            </w:r>
          </w:p>
          <w:p w14:paraId="3802E081" w14:textId="77777777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 2 mesi</w:t>
            </w:r>
          </w:p>
          <w:p w14:paraId="591BDCC7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1 mese 15 gg</w:t>
            </w:r>
          </w:p>
          <w:p w14:paraId="385046D8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5429D6A7" w14:textId="77D2A022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10 gg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126CDC8D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&gt; 5 anni</w:t>
            </w:r>
          </w:p>
          <w:p w14:paraId="0BD0F7F2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</w:t>
            </w:r>
          </w:p>
          <w:p w14:paraId="68667281" w14:textId="5CADDBB3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3  mesi</w:t>
            </w:r>
            <w:proofErr w:type="gramEnd"/>
            <w:r>
              <w:t xml:space="preserve"> </w:t>
            </w:r>
          </w:p>
          <w:p w14:paraId="3D43B64D" w14:textId="0E572CC0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2 mesi</w:t>
            </w:r>
          </w:p>
          <w:p w14:paraId="69B56FFA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641CADA4" w14:textId="7B373E44" w:rsidR="00323F47" w:rsidRDefault="007473E1" w:rsidP="007473E1">
            <w:pPr>
              <w:spacing w:after="0" w:line="259" w:lineRule="auto"/>
              <w:ind w:left="0" w:right="6" w:firstLine="0"/>
              <w:jc w:val="center"/>
            </w:pPr>
            <w:r>
              <w:t>2 mesi 15 gg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50C119C0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>Art. 1</w:t>
            </w:r>
            <w:r w:rsidR="007473E1">
              <w:t xml:space="preserve"> Titolo VIII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9086E" w14:textId="54756469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Fino a </w:t>
            </w:r>
            <w:r w:rsidR="007473E1">
              <w:t>3 anni 183 gg</w:t>
            </w:r>
            <w:r>
              <w:t xml:space="preserve"> </w:t>
            </w:r>
          </w:p>
          <w:p w14:paraId="2D90CE6E" w14:textId="2CEE86A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Da </w:t>
            </w:r>
            <w:proofErr w:type="gramStart"/>
            <w:r w:rsidR="007473E1">
              <w:t>3  a</w:t>
            </w:r>
            <w:proofErr w:type="gramEnd"/>
            <w:r>
              <w:t xml:space="preserve"> 6 anni </w:t>
            </w:r>
            <w:r w:rsidR="007473E1">
              <w:t>274 gg</w:t>
            </w:r>
          </w:p>
          <w:p w14:paraId="6AADFB47" w14:textId="4213B66D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Oltre i 6 anni </w:t>
            </w:r>
          </w:p>
          <w:p w14:paraId="00DA66C3" w14:textId="0ECCDBBC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365 gg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2A01E204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7473E1">
              <w:t>2 Titolo VI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</w:t>
            </w:r>
            <w:proofErr w:type="gramStart"/>
            <w:r>
              <w:t>dell’indennità  prevista</w:t>
            </w:r>
            <w:proofErr w:type="gramEnd"/>
            <w:r>
              <w:t xml:space="preserve">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773A05BA" w:rsidR="00323F47" w:rsidRDefault="003E43FB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5605F6">
              <w:t>4 Titolo VI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36E807" w14:textId="73326D0B" w:rsidR="00362C14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unire ferie e recuperi per ricongiungimenti familiari</w:t>
            </w:r>
          </w:p>
          <w:p w14:paraId="0D45FBB9" w14:textId="1DA0889A" w:rsidR="003E43FB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Congedi parentali</w:t>
            </w:r>
          </w:p>
          <w:p w14:paraId="1F992186" w14:textId="05E4EADB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Decesso parente entro </w:t>
            </w:r>
            <w:proofErr w:type="gramStart"/>
            <w:r>
              <w:rPr>
                <w:sz w:val="20"/>
                <w:szCs w:val="20"/>
              </w:rPr>
              <w:t>2°</w:t>
            </w:r>
            <w:proofErr w:type="gramEnd"/>
            <w:r>
              <w:rPr>
                <w:sz w:val="20"/>
                <w:szCs w:val="20"/>
              </w:rPr>
              <w:t>grado 3 g</w:t>
            </w:r>
            <w:r w:rsidR="00362C1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orni</w:t>
            </w:r>
          </w:p>
          <w:p w14:paraId="60F4E023" w14:textId="2E8183D9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Permessi studio 150 ore </w:t>
            </w:r>
          </w:p>
          <w:p w14:paraId="36ED9C75" w14:textId="71A6A6F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Congedo matrimoniale 15 gg</w:t>
            </w:r>
          </w:p>
          <w:p w14:paraId="78CEA4BC" w14:textId="5B42BA36" w:rsidR="003E43FB" w:rsidRDefault="003E43FB" w:rsidP="000957F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  <w:szCs w:val="20"/>
              </w:rPr>
              <w:t xml:space="preserve">Volontari </w:t>
            </w:r>
            <w:r w:rsidR="000957F1">
              <w:rPr>
                <w:sz w:val="20"/>
                <w:szCs w:val="20"/>
              </w:rPr>
              <w:t>anzianità 10 anni fino a 6 mesi non frazionabili</w:t>
            </w:r>
            <w:r w:rsidR="000A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F938" w14:textId="4363CDAB" w:rsidR="003E43FB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10 Titolo III</w:t>
            </w:r>
          </w:p>
          <w:p w14:paraId="5D22E6A2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EE1C0D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56B444BA" w14:textId="1EF6CB9E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5 Titolo VI</w:t>
            </w:r>
          </w:p>
          <w:p w14:paraId="6A6CDB66" w14:textId="249FB323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 Titolo VI</w:t>
            </w:r>
          </w:p>
          <w:p w14:paraId="289797D6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0A5F2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8 Titolo IV</w:t>
            </w:r>
          </w:p>
          <w:p w14:paraId="364FD623" w14:textId="77777777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EA4A83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 3 Titolo VI</w:t>
            </w:r>
          </w:p>
          <w:p w14:paraId="17333B2D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636EA8F3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737ED0" w14:textId="5BE780BD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</w:t>
            </w:r>
            <w:r w:rsidR="000957F1">
              <w:rPr>
                <w:sz w:val="20"/>
                <w:szCs w:val="20"/>
              </w:rPr>
              <w:t>11 Titolo VI</w:t>
            </w:r>
          </w:p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A17AEFB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SI Fondo COMETA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18BD1613" w:rsidR="00323F47" w:rsidRDefault="000957F1">
            <w:pPr>
              <w:spacing w:after="0" w:line="259" w:lineRule="auto"/>
              <w:ind w:left="0" w:right="3" w:firstLine="0"/>
              <w:jc w:val="center"/>
            </w:pPr>
            <w:r>
              <w:t>Art. 15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3A8EA" w14:textId="77777777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Welfare</w:t>
            </w:r>
            <w:r w:rsidR="003B1EEA">
              <w:t xml:space="preserve"> </w:t>
            </w:r>
          </w:p>
          <w:p w14:paraId="69A6A1B7" w14:textId="3B7E9193" w:rsidR="000957F1" w:rsidRDefault="000957F1">
            <w:pPr>
              <w:spacing w:after="0" w:line="259" w:lineRule="auto"/>
              <w:ind w:left="0" w:right="7" w:firstLine="0"/>
              <w:jc w:val="center"/>
            </w:pPr>
            <w:r>
              <w:t>€ 200 anno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39BC9E9E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0957F1">
              <w:t>17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D.Lgs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957F1"/>
    <w:rsid w:val="000A59A9"/>
    <w:rsid w:val="000F3ED7"/>
    <w:rsid w:val="00157295"/>
    <w:rsid w:val="00177D26"/>
    <w:rsid w:val="00323F47"/>
    <w:rsid w:val="00324996"/>
    <w:rsid w:val="00362C14"/>
    <w:rsid w:val="00391ED0"/>
    <w:rsid w:val="003B1EEA"/>
    <w:rsid w:val="003E43FB"/>
    <w:rsid w:val="005540C7"/>
    <w:rsid w:val="005605F6"/>
    <w:rsid w:val="005E77E5"/>
    <w:rsid w:val="005F2DF8"/>
    <w:rsid w:val="006332D5"/>
    <w:rsid w:val="006E50D9"/>
    <w:rsid w:val="007473E1"/>
    <w:rsid w:val="00833D62"/>
    <w:rsid w:val="008768B0"/>
    <w:rsid w:val="00986369"/>
    <w:rsid w:val="00B066CE"/>
    <w:rsid w:val="00B2058A"/>
    <w:rsid w:val="00BA3E95"/>
    <w:rsid w:val="00E35E91"/>
    <w:rsid w:val="00E73DA0"/>
    <w:rsid w:val="00FE1112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Giancarmelo Varasano</cp:lastModifiedBy>
  <cp:revision>3</cp:revision>
  <dcterms:created xsi:type="dcterms:W3CDTF">2026-04-23T06:42:00Z</dcterms:created>
  <dcterms:modified xsi:type="dcterms:W3CDTF">2026-05-05T06:38:00Z</dcterms:modified>
</cp:coreProperties>
</file>